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 w:line="46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亲属关系证明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95" w:afterLines="3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原有我辖区（居民/村民）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日出生，身份证号码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（死亡原因）在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（死亡地点）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日去世，死者生前只有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次婚史，共生育子女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人，共收养子女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人，共送养子女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人，死者的近亲属包括配偶、子女 、父母，只有以下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人，分别为：</w:t>
      </w:r>
    </w:p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0"/>
        <w:gridCol w:w="2460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5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注：以上表格中“称谓”，根据实际情况请填写如：配偶、长子、次子、长女、次女、养子、养女、继女、父亲、母亲、养父、养母、继父、继母等。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派出所意见（盖章）：                单位或村(居)委会（盖章）：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40" w:firstLineChars="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月  日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经办人：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410FF"/>
    <w:rsid w:val="232410FF"/>
    <w:rsid w:val="6F3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2020-12-19T03:49:00Z</dcterms:created>
  <dc:creator>律师陆歆</dc:creator>
  <cp:lastModifiedBy>律师陆歆</cp:lastModifiedBy>
  <dcterms:modified xsi:type="dcterms:W3CDTF">2020-12-19T03:59:16Z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